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6D714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16, 1824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5915E7">
        <w:rPr>
          <w:rFonts w:asciiTheme="minorHAnsi" w:hAnsiTheme="minorHAnsi"/>
        </w:rPr>
        <w:t>Nov. 16, 1824, second day of the First Session of the Third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1D59E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Where the previous General Assemblies began session on the first Monday in November, lawmakers changed this to the third Monday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Also, length of session is extended from six weeks to three months.</w:t>
      </w:r>
    </w:p>
    <w:p w:rsidR="001D59EB" w:rsidRDefault="001D59EB" w:rsidP="00456E6C">
      <w:pPr>
        <w:jc w:val="both"/>
        <w:rPr>
          <w:rFonts w:asciiTheme="minorHAnsi" w:hAnsiTheme="minorHAnsi"/>
        </w:rPr>
      </w:pPr>
    </w:p>
    <w:p w:rsidR="001D59EB" w:rsidRPr="00B6707F" w:rsidRDefault="001D59E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Another aspect of this session is newly revised state statutes, which are now under the purview of two judges and a commission. In addition, the Legislature set forth the boundaries of Jackson County.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1D59E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16, 1824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beginning of the First Session of the Third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1D59EB" w:rsidRDefault="001D59EB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1D59EB" w:rsidRPr="001D59EB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D59E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1D59E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59EB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5E7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148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58E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2020-09-17T14:33:00Z</dcterms:created>
  <dcterms:modified xsi:type="dcterms:W3CDTF">2020-09-17T14:41:00Z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